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30"/>
      </w:pPr>
      <w:r>
        <w:rPr>
          <w:rFonts w:ascii="Arial" w:cs="Arial" w:eastAsia="Arial" w:hAnsi="Arial"/>
          <w:b/>
          <w:bCs/>
          <w:color w:val="1A1A1B"/>
          <w:sz w:val="56"/>
          <w:szCs w:val="56"/>
        </w:rPr>
        <w:t xml:space="preserve">NEERAJ RAI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color w:val="1A56A0"/>
          <w:sz w:val="21"/>
          <w:szCs w:val="21"/>
        </w:rPr>
        <w:t xml:space="preserve">Senior Solutions Architect, Amperity  |  Customer Data &amp; Identity  |  Clean Rooms  |  Cloud &amp; AdTech</w:t>
      </w:r>
    </w:p>
    <w:p>
      <w:pPr>
        <w:pBdr>
          <w:bottom w:val="single" w:color="1A56A0" w:sz="8" w:space="5"/>
        </w:pBdr>
        <w:spacing w:before="0" w:after="0"/>
      </w:pPr>
      <w:r>
        <w:rPr>
          <w:rFonts w:ascii="Arial" w:cs="Arial" w:eastAsia="Arial" w:hAnsi="Arial"/>
          <w:color w:val="777777"/>
          <w:sz w:val="18"/>
          <w:szCs w:val="18"/>
        </w:rPr>
        <w:t xml:space="preserve">London, UK</w:t>
      </w:r>
      <w:r>
        <w:rPr>
          <w:rFonts w:ascii="Arial" w:cs="Arial" w:eastAsia="Arial" w:hAnsi="Arial"/>
          <w:color w:val="777777"/>
          <w:sz w:val="18"/>
          <w:szCs w:val="18"/>
        </w:rPr>
        <w:t xml:space="preserve">   |   neeraj.it3.uk@gmail.com</w:t>
      </w:r>
      <w:r>
        <w:rPr>
          <w:rFonts w:ascii="Arial" w:cs="Arial" w:eastAsia="Arial" w:hAnsi="Arial"/>
          <w:color w:val="777777"/>
          <w:sz w:val="18"/>
          <w:szCs w:val="18"/>
        </w:rPr>
        <w:t xml:space="preserve">   |   </w:t>
      </w:r>
      <w:hyperlink w:history="1" r:id="rId7gehmrduilrrlpimi2ibl">
        <w:r>
          <w:rPr>
            <w:rFonts w:ascii="Arial" w:cs="Arial" w:eastAsia="Arial" w:hAnsi="Arial"/>
            <w:color w:val="1A56A0"/>
            <w:sz w:val="18"/>
            <w:szCs w:val="18"/>
            <w:u w:val="single"/>
          </w:rPr>
          <w:t xml:space="preserve">linkedin.com/in/neeraj-rai2607</w:t>
        </w:r>
      </w:hyperlink>
      <w:r>
        <w:rPr>
          <w:rFonts w:ascii="Arial" w:cs="Arial" w:eastAsia="Arial" w:hAnsi="Arial"/>
          <w:color w:val="777777"/>
          <w:sz w:val="18"/>
          <w:szCs w:val="18"/>
        </w:rPr>
        <w:t xml:space="preserve">   |   </w:t>
      </w:r>
      <w:hyperlink w:history="1" r:id="rIdqh79momcfmngrfb5sg-f2">
        <w:r>
          <w:rPr>
            <w:rFonts w:ascii="Arial" w:cs="Arial" w:eastAsia="Arial" w:hAnsi="Arial"/>
            <w:color w:val="1A56A0"/>
            <w:sz w:val="18"/>
            <w:szCs w:val="18"/>
            <w:u w:val="single"/>
          </w:rPr>
          <w:t xml:space="preserve">hungry-neer.com</w:t>
        </w:r>
      </w:hyperlink>
    </w:p>
    <w:p>
      <w:pPr>
        <w:spacing w:before="0" w:after="120"/>
      </w:pPr>
    </w:p>
    <w:p>
      <w:pPr>
        <w:pBdr>
          <w:bottom w:val="single" w:color="1A56A0" w:sz="10" w:space="4"/>
        </w:pBdr>
        <w:spacing w:before="220" w:after="70"/>
      </w:pPr>
      <w:r>
        <w:rPr>
          <w:rFonts w:ascii="Arial" w:cs="Arial" w:eastAsia="Arial" w:hAnsi="Arial"/>
          <w:b/>
          <w:bCs/>
          <w:color w:val="1A56A0"/>
          <w:spacing w:val="80"/>
          <w:sz w:val="21"/>
          <w:szCs w:val="21"/>
        </w:rPr>
        <w:t xml:space="preserve">PROFILE</w:t>
      </w:r>
    </w:p>
    <w:p>
      <w:pPr>
        <w:spacing w:before="80" w:after="8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Senior Solutions Architect at Amperity, the AI-powered customer data platform, with 15+ years across customer data, clean rooms, measurement, programmatic advertising, and enterprise solutions engineering. Designs how enterprise brands unify their customer data — data discovery, ingestion and integration, identity resolution, the customer 360, and activation into warehouses and marketing channels. Previously at Amazon Ads (2021–2026), leading data collaboration and first-party data programmes across EMEA for major CPG and Retail brands including Nestlé, Unilever, P&amp;G, and LEGO. Equally strong in technical delivery (architecture design, ETL, SQL, API integrations), customer-facing discovery and solution scoping, and enablement (playbooks, training, partner enablement).</w:t>
      </w:r>
    </w:p>
    <w:p>
      <w:pPr>
        <w:spacing w:before="30" w:after="40"/>
      </w:pPr>
      <w:r>
        <w:rPr>
          <w:rFonts w:ascii="Arial" w:cs="Arial" w:eastAsia="Arial" w:hAnsi="Arial"/>
          <w:b/>
          <w:bCs/>
          <w:color w:val="1A1A1B"/>
          <w:sz w:val="19"/>
          <w:szCs w:val="19"/>
        </w:rPr>
        <w:t xml:space="preserve">Sectors: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CDP  ·  MarTech  ·  AdTech  ·  Identity Resolution  ·  Clean Rooms  ·  DSP / SSP / DMP  ·  Measurement &amp; Attribution  ·  SaaS</w:t>
      </w:r>
    </w:p>
    <w:p>
      <w:pPr>
        <w:spacing w:before="0" w:after="40"/>
      </w:pPr>
    </w:p>
    <w:p>
      <w:pPr>
        <w:pBdr>
          <w:bottom w:val="single" w:color="1A56A0" w:sz="10" w:space="4"/>
        </w:pBdr>
        <w:spacing w:before="220" w:after="70"/>
      </w:pPr>
      <w:r>
        <w:rPr>
          <w:rFonts w:ascii="Arial" w:cs="Arial" w:eastAsia="Arial" w:hAnsi="Arial"/>
          <w:b/>
          <w:bCs/>
          <w:color w:val="1A56A0"/>
          <w:spacing w:val="80"/>
          <w:sz w:val="21"/>
          <w:szCs w:val="21"/>
        </w:rPr>
        <w:t xml:space="preserve">EXPERIENCE</w:t>
      </w:r>
    </w:p>
    <w:p>
      <w:pPr>
        <w:tabs>
          <w:tab w:val="right" w:pos="9360"/>
        </w:tabs>
        <w:spacing w:before="160" w:after="20"/>
      </w:pPr>
      <w:r>
        <w:rPr>
          <w:rFonts w:ascii="Arial" w:cs="Arial" w:eastAsia="Arial" w:hAnsi="Arial"/>
          <w:b/>
          <w:bCs/>
          <w:color w:val="1A1A1B"/>
          <w:sz w:val="22"/>
          <w:szCs w:val="22"/>
        </w:rPr>
        <w:t xml:space="preserve">Senior Solutions Architect — Professional Services</w:t>
      </w:r>
      <w:r>
        <w:rPr>
          <w:rFonts w:ascii="Arial" w:cs="Arial" w:eastAsia="Arial" w:hAnsi="Arial"/>
          <w:sz w:val="22"/>
          <w:szCs w:val="22"/>
        </w:rPr>
        <w:t xml:space="preserve">	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2026 – Present</w:t>
      </w:r>
    </w:p>
    <w:p>
      <w:pPr>
        <w:spacing w:before="0" w:after="70"/>
      </w:pPr>
      <w:r>
        <w:rPr>
          <w:rFonts w:ascii="Arial" w:cs="Arial" w:eastAsia="Arial" w:hAnsi="Arial"/>
          <w:b/>
          <w:bCs/>
          <w:color w:val="1A56A0"/>
          <w:sz w:val="20"/>
          <w:szCs w:val="20"/>
        </w:rPr>
        <w:t xml:space="preserve">Amperity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   |   </w:t>
      </w: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London, UK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Own end-to-end solution architecture for enterprise implementations of Amperity's AI-powered customer data platform, from data discovery to production.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Lead data discovery sessions and design ingestion and integration strategy across customer source systems, cloud warehouses (Snowflake, Databricks), and activation platforms.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Shape identity resolution and unified customer 360 design; build and tune production-grade customer databases and SQL for performance at scale.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Advise customer data, marketing, and engineering teams on best-practice architecture, partnering with Solution Delivery Managers and Customer Solution Engineers to deliver on plan.</w:t>
      </w:r>
    </w:p>
    <w:p>
      <w:pPr>
        <w:tabs>
          <w:tab w:val="right" w:pos="9360"/>
        </w:tabs>
        <w:spacing w:before="160" w:after="20"/>
      </w:pPr>
      <w:r>
        <w:rPr>
          <w:rFonts w:ascii="Arial" w:cs="Arial" w:eastAsia="Arial" w:hAnsi="Arial"/>
          <w:b/>
          <w:bCs/>
          <w:color w:val="1A1A1B"/>
          <w:sz w:val="22"/>
          <w:szCs w:val="22"/>
        </w:rPr>
        <w:t xml:space="preserve">Ad Tech Consultant — Data Collaboration &amp; Solutions</w:t>
      </w:r>
      <w:r>
        <w:rPr>
          <w:rFonts w:ascii="Arial" w:cs="Arial" w:eastAsia="Arial" w:hAnsi="Arial"/>
          <w:sz w:val="22"/>
          <w:szCs w:val="22"/>
        </w:rPr>
        <w:t xml:space="preserve">	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Aug 2021 – 2026</w:t>
      </w:r>
    </w:p>
    <w:p>
      <w:pPr>
        <w:spacing w:before="0" w:after="70"/>
      </w:pPr>
      <w:r>
        <w:rPr>
          <w:rFonts w:ascii="Arial" w:cs="Arial" w:eastAsia="Arial" w:hAnsi="Arial"/>
          <w:b/>
          <w:bCs/>
          <w:color w:val="1A56A0"/>
          <w:sz w:val="20"/>
          <w:szCs w:val="20"/>
        </w:rPr>
        <w:t xml:space="preserve">Amazon Ads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   |   </w:t>
      </w: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London, UK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Led data collaboration strategy and solutions engineering for enterprise brands across EMEA — designing and delivering clean room architectures (Amazon Marketing Cloud, AWS Clean Rooms), first-party data activation frameworks, and measurement solutions for Nestlé, Unilever, P&amp;G, and LEGO.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Ran technical pre-sales and discovery workshops: requirements gathering, solution scoping, platform demonstrations, and RFP/RFI responses for agency HoldCos and CDPs across EMEA.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Acted as primary technical escalation point for complex integration issues; partnered with Product and Engineering on roadmap input and beta feature validation.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Designed and implemented ETL pipelines and API-based integrations; wrote advanced SQL across clean room environments for custom measurement use cases (MMM, MTA, incrementality, offline sales lift).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Built enablement programmes, integration playbooks, RACI frameworks, and training content adopted across EMEA commercial teams.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Managed data partnerships with LiveRamp, Circana, and NielsenIQ — designing joint measurement and data connectivity solutions for CPG and Retail verticals.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Translated complex technical capabilities into commercial narratives for both engineering audiences and C-suite stakeholders.</w:t>
      </w:r>
    </w:p>
    <w:p>
      <w:pPr>
        <w:tabs>
          <w:tab w:val="right" w:pos="9360"/>
        </w:tabs>
        <w:spacing w:before="160" w:after="20"/>
      </w:pPr>
      <w:r>
        <w:rPr>
          <w:rFonts w:ascii="Arial" w:cs="Arial" w:eastAsia="Arial" w:hAnsi="Arial"/>
          <w:b/>
          <w:bCs/>
          <w:color w:val="1A1A1B"/>
          <w:sz w:val="22"/>
          <w:szCs w:val="22"/>
        </w:rPr>
        <w:t xml:space="preserve">VP, Operations / Lead Solutions Engineer</w:t>
      </w:r>
      <w:r>
        <w:rPr>
          <w:rFonts w:ascii="Arial" w:cs="Arial" w:eastAsia="Arial" w:hAnsi="Arial"/>
          <w:sz w:val="22"/>
          <w:szCs w:val="22"/>
        </w:rPr>
        <w:t xml:space="preserve">	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Mar 2019 – Aug 2021</w:t>
      </w:r>
    </w:p>
    <w:p>
      <w:pPr>
        <w:spacing w:before="0" w:after="70"/>
      </w:pPr>
      <w:r>
        <w:rPr>
          <w:rFonts w:ascii="Arial" w:cs="Arial" w:eastAsia="Arial" w:hAnsi="Arial"/>
          <w:b/>
          <w:bCs/>
          <w:color w:val="1A56A0"/>
          <w:sz w:val="20"/>
          <w:szCs w:val="20"/>
        </w:rPr>
        <w:t xml:space="preserve">Dopamin Consultants / Advangelists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   |   </w:t>
      </w: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Pune, India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Led solutions engineering, pre-sales, and technical account management across DSP, Ad Server, DMP, and programmatic exchange environments.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Designed API-based integrations (Python, PHP) for audience data ingestion, campaign automation, and programmatic reporting across RTB systems.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Built ETL data pipelines (Python, Shell scripting, MySQL) and automation frameworks; acted as escalation POC for complex technical issues.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Produced architecture documentation, solution specs, and RFP responses; mentored junior engineers and drove operational improvements.</w:t>
      </w:r>
    </w:p>
    <w:p>
      <w:pPr>
        <w:tabs>
          <w:tab w:val="right" w:pos="9360"/>
        </w:tabs>
        <w:spacing w:before="160" w:after="20"/>
      </w:pPr>
      <w:r>
        <w:rPr>
          <w:rFonts w:ascii="Arial" w:cs="Arial" w:eastAsia="Arial" w:hAnsi="Arial"/>
          <w:b/>
          <w:bCs/>
          <w:color w:val="1A1A1B"/>
          <w:sz w:val="22"/>
          <w:szCs w:val="22"/>
        </w:rPr>
        <w:t xml:space="preserve">Lead Application Engineer</w:t>
      </w:r>
      <w:r>
        <w:rPr>
          <w:rFonts w:ascii="Arial" w:cs="Arial" w:eastAsia="Arial" w:hAnsi="Arial"/>
          <w:sz w:val="22"/>
          <w:szCs w:val="22"/>
        </w:rPr>
        <w:t xml:space="preserve">	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Mar 2013 – Mar 2019</w:t>
      </w:r>
    </w:p>
    <w:p>
      <w:pPr>
        <w:spacing w:before="0" w:after="70"/>
      </w:pPr>
      <w:r>
        <w:rPr>
          <w:rFonts w:ascii="Arial" w:cs="Arial" w:eastAsia="Arial" w:hAnsi="Arial"/>
          <w:b/>
          <w:bCs/>
          <w:color w:val="1A56A0"/>
          <w:sz w:val="20"/>
          <w:szCs w:val="20"/>
        </w:rPr>
        <w:t xml:space="preserve">Talentica Software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   |   </w:t>
      </w: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Pune, India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Designed APIs and reporting systems for ad exchange platforms; built ETL workflows (Python, PHP, MySQL) supporting large-scale data ingestion, analytics, and KPI reporting.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Bridged engineering and commercial teams through requirements definition, solution documentation, and client-facing technical delivery.</w:t>
      </w:r>
    </w:p>
    <w:p>
      <w:pPr>
        <w:tabs>
          <w:tab w:val="right" w:pos="9360"/>
        </w:tabs>
        <w:spacing w:before="160" w:after="20"/>
      </w:pPr>
      <w:r>
        <w:rPr>
          <w:rFonts w:ascii="Arial" w:cs="Arial" w:eastAsia="Arial" w:hAnsi="Arial"/>
          <w:b/>
          <w:bCs/>
          <w:color w:val="1A1A1B"/>
          <w:sz w:val="22"/>
          <w:szCs w:val="22"/>
        </w:rPr>
        <w:t xml:space="preserve">Software Engineer</w:t>
      </w:r>
      <w:r>
        <w:rPr>
          <w:rFonts w:ascii="Arial" w:cs="Arial" w:eastAsia="Arial" w:hAnsi="Arial"/>
          <w:sz w:val="22"/>
          <w:szCs w:val="22"/>
        </w:rPr>
        <w:t xml:space="preserve">	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Jun 2010 – Mar 2013</w:t>
      </w:r>
    </w:p>
    <w:p>
      <w:pPr>
        <w:spacing w:before="0" w:after="70"/>
      </w:pPr>
      <w:r>
        <w:rPr>
          <w:rFonts w:ascii="Arial" w:cs="Arial" w:eastAsia="Arial" w:hAnsi="Arial"/>
          <w:b/>
          <w:bCs/>
          <w:color w:val="1A56A0"/>
          <w:sz w:val="20"/>
          <w:szCs w:val="20"/>
        </w:rPr>
        <w:t xml:space="preserve">Atos India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   |   </w:t>
      </w: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Pune, India</w:t>
      </w:r>
    </w:p>
    <w:p>
      <w:pPr>
        <w:pStyle w:val="ListParagraph"/>
        <w:numPr>
          <w:ilvl w:val="0"/>
          <w:numId w:val="2"/>
        </w:numPr>
        <w:spacing w:before="35" w:after="35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Developed enterprise data applications using Oracle SQL, PL/SQL, and Unix shell scripting; managed full delivery lifecycle.</w:t>
      </w:r>
    </w:p>
    <w:p>
      <w:pPr>
        <w:spacing w:before="0" w:after="40"/>
      </w:pPr>
    </w:p>
    <w:p>
      <w:pPr>
        <w:pBdr>
          <w:bottom w:val="single" w:color="1A56A0" w:sz="10" w:space="4"/>
        </w:pBdr>
        <w:spacing w:before="220" w:after="70"/>
      </w:pPr>
      <w:r>
        <w:rPr>
          <w:rFonts w:ascii="Arial" w:cs="Arial" w:eastAsia="Arial" w:hAnsi="Arial"/>
          <w:b/>
          <w:bCs/>
          <w:color w:val="1A56A0"/>
          <w:spacing w:val="80"/>
          <w:sz w:val="21"/>
          <w:szCs w:val="21"/>
        </w:rPr>
        <w:t xml:space="preserve">CORE SKILLS &amp; TECHNOLOGIES</w:t>
      </w:r>
    </w:p>
    <w:p>
      <w:pPr>
        <w:spacing w:before="0"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CDP (Amperity) · Clean Rooms (AMC, AWS)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Pre-Sales: Discovery, Demos, RFPs, Scoping</w:t>
            </w:r>
          </w:p>
        </w:tc>
      </w:tr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First-Party Data Strategy &amp; Activation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Solutions Architecture &amp; System Design</w:t>
            </w:r>
          </w:p>
        </w:tc>
      </w:tr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DSP / SSP / DMP / CDP Ecosystems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Technical Account Management</w:t>
            </w:r>
          </w:p>
        </w:tc>
      </w:tr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Programmatic Advertising &amp; RTB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ETL / ELT Pipeline Design</w:t>
            </w:r>
          </w:p>
        </w:tc>
      </w:tr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MMM · MTA · Incrementality · OSL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Advanced SQL &amp; Data Modelling</w:t>
            </w:r>
          </w:p>
        </w:tc>
      </w:tr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Identity Resolution &amp; Audience Activation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Python · Shell Scripting · PHP</w:t>
            </w:r>
          </w:p>
        </w:tc>
      </w:tr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LiveRamp · Circana · NielsenIQ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APIs (REST/JSON) · AWS · MySQL</w:t>
            </w:r>
          </w:p>
        </w:tc>
      </w:tr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GDPR · CCPA · Privacy-by-Design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Linux/Unix · Agile Environments</w:t>
            </w:r>
          </w:p>
        </w:tc>
      </w:tr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Enablement, Playbooks &amp; Documentation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before="0" w:after="30"/>
            </w:pPr>
            <w:r>
              <w:rPr>
                <w:rFonts w:ascii="Arial" w:cs="Arial" w:eastAsia="Arial" w:hAnsi="Arial"/>
                <w:color w:val="1A56A0"/>
                <w:sz w:val="19"/>
                <w:szCs w:val="19"/>
              </w:rPr>
              <w:t xml:space="preserve">▪  </w:t>
            </w:r>
            <w:r>
              <w:rPr>
                <w:rFonts w:ascii="Arial" w:cs="Arial" w:eastAsia="Arial" w:hAnsi="Arial"/>
                <w:color w:val="444444"/>
                <w:sz w:val="19"/>
                <w:szCs w:val="19"/>
              </w:rPr>
              <w:t xml:space="preserve">Stakeholder &amp; Executive Presentations</w:t>
            </w:r>
          </w:p>
        </w:tc>
      </w:tr>
    </w:tbl>
    <w:p>
      <w:pPr>
        <w:spacing w:before="0" w:after="80"/>
      </w:pPr>
    </w:p>
    <w:p>
      <w:pPr>
        <w:pBdr>
          <w:bottom w:val="single" w:color="1A56A0" w:sz="10" w:space="4"/>
        </w:pBdr>
        <w:spacing w:before="220" w:after="70"/>
      </w:pPr>
      <w:r>
        <w:rPr>
          <w:rFonts w:ascii="Arial" w:cs="Arial" w:eastAsia="Arial" w:hAnsi="Arial"/>
          <w:b/>
          <w:bCs/>
          <w:color w:val="1A56A0"/>
          <w:spacing w:val="80"/>
          <w:sz w:val="21"/>
          <w:szCs w:val="21"/>
        </w:rPr>
        <w:t xml:space="preserve">CERTIFICATIONS</w:t>
      </w:r>
    </w:p>
    <w:p>
      <w:pPr>
        <w:spacing w:before="80" w:after="40"/>
      </w:pPr>
      <w:r>
        <w:rPr>
          <w:rFonts w:ascii="Arial" w:cs="Arial" w:eastAsia="Arial" w:hAnsi="Arial"/>
          <w:b w:val="false"/>
          <w:bCs w:val="false"/>
          <w:color w:val="444444"/>
          <w:sz w:val="19"/>
          <w:szCs w:val="19"/>
        </w:rPr>
        <w:t xml:space="preserve">AWS Certified Machine Learning Engineer – Associate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   ·   </w:t>
      </w:r>
      <w:r>
        <w:rPr>
          <w:rFonts w:ascii="Arial" w:cs="Arial" w:eastAsia="Arial" w:hAnsi="Arial"/>
          <w:b w:val="false"/>
          <w:bCs w:val="false"/>
          <w:color w:val="444444"/>
          <w:sz w:val="19"/>
          <w:szCs w:val="19"/>
        </w:rPr>
        <w:t xml:space="preserve">AWS Certified Solutions Architect – Associate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   ·   </w:t>
      </w:r>
      <w:r>
        <w:rPr>
          <w:rFonts w:ascii="Arial" w:cs="Arial" w:eastAsia="Arial" w:hAnsi="Arial"/>
          <w:b w:val="false"/>
          <w:bCs w:val="false"/>
          <w:color w:val="444444"/>
          <w:sz w:val="19"/>
          <w:szCs w:val="19"/>
        </w:rPr>
        <w:t xml:space="preserve">AWS Certified Cloud Practitioner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   ·   </w:t>
      </w:r>
      <w:r>
        <w:rPr>
          <w:rFonts w:ascii="Arial" w:cs="Arial" w:eastAsia="Arial" w:hAnsi="Arial"/>
          <w:b w:val="false"/>
          <w:bCs w:val="false"/>
          <w:color w:val="444444"/>
          <w:sz w:val="19"/>
          <w:szCs w:val="19"/>
        </w:rPr>
        <w:t xml:space="preserve">AWS Certified AI Practitioner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   ·   </w:t>
      </w:r>
      <w:r>
        <w:rPr>
          <w:rFonts w:ascii="Arial" w:cs="Arial" w:eastAsia="Arial" w:hAnsi="Arial"/>
          <w:b w:val="false"/>
          <w:bCs w:val="false"/>
          <w:color w:val="444444"/>
          <w:sz w:val="19"/>
          <w:szCs w:val="19"/>
        </w:rPr>
        <w:t xml:space="preserve">Amazon Marketing Cloud (AMC) Certified</w:t>
      </w:r>
    </w:p>
    <w:p>
      <w:pPr>
        <w:spacing w:before="0" w:after="40"/>
      </w:pPr>
    </w:p>
    <w:p>
      <w:pPr>
        <w:pBdr>
          <w:bottom w:val="single" w:color="1A56A0" w:sz="10" w:space="4"/>
        </w:pBdr>
        <w:spacing w:before="220" w:after="70"/>
      </w:pPr>
      <w:r>
        <w:rPr>
          <w:rFonts w:ascii="Arial" w:cs="Arial" w:eastAsia="Arial" w:hAnsi="Arial"/>
          <w:b/>
          <w:bCs/>
          <w:color w:val="1A56A0"/>
          <w:spacing w:val="80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before="80" w:after="20"/>
      </w:pPr>
      <w:r>
        <w:rPr>
          <w:rFonts w:ascii="Arial" w:cs="Arial" w:eastAsia="Arial" w:hAnsi="Arial"/>
          <w:b/>
          <w:bCs/>
          <w:color w:val="1A1A1B"/>
          <w:sz w:val="21"/>
          <w:szCs w:val="21"/>
        </w:rPr>
        <w:t xml:space="preserve">Bachelor of Technology — Information Technology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color w:val="777777"/>
          <w:sz w:val="19"/>
          <w:szCs w:val="19"/>
        </w:rPr>
        <w:t xml:space="preserve">2006 – 2010</w:t>
      </w:r>
    </w:p>
    <w:p>
      <w:pPr>
        <w:spacing w:before="0" w:after="60"/>
      </w:pP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Malaviya National Institute of Technology, Jaipur, India</w:t>
      </w:r>
    </w:p>
    <w:sectPr>
      <w:pgSz w:w="12240" w:h="15840" w:orient="portrait"/>
      <w:pgMar w:top="860" w:right="1080" w:bottom="86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7gehmrduilrrlpimi2ibl" Type="http://schemas.openxmlformats.org/officeDocument/2006/relationships/hyperlink" Target="https://www.linkedin.com/in/neeraj-rai2607/" TargetMode="External"/><Relationship Id="rIdqh79momcfmngrfb5sg-f2" Type="http://schemas.openxmlformats.org/officeDocument/2006/relationships/hyperlink" Target="https://www.hungry-neer.com/" TargetMode="Externa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2026-04-08T14:18:09.448Z</dcterms:created>
  <dcterms:modified xsi:type="dcterms:W3CDTF">2026-04-08T14:18:09.449Z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